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C96" w:rsidRPr="00802EDA" w:rsidRDefault="00873C96" w:rsidP="00873C96">
      <w:pPr>
        <w:rPr>
          <w:rFonts w:ascii="Arial" w:hAnsi="Arial" w:cs="Arial"/>
          <w:b/>
          <w:bCs/>
          <w:sz w:val="22"/>
        </w:rPr>
      </w:pPr>
      <w:bookmarkStart w:id="0" w:name="_Hlk3548187"/>
      <w:r w:rsidRPr="00802EDA">
        <w:rPr>
          <w:rFonts w:ascii="Arial" w:hAnsi="Arial" w:cs="Arial"/>
          <w:b/>
          <w:bCs/>
          <w:sz w:val="22"/>
        </w:rPr>
        <w:t xml:space="preserve">3GPP TSG-RAN WG4 Meeting # </w:t>
      </w:r>
      <w:r w:rsidRPr="00802EDA">
        <w:rPr>
          <w:rFonts w:ascii="Arial" w:hAnsi="Arial" w:cs="Arial" w:hint="eastAsia"/>
          <w:b/>
          <w:bCs/>
          <w:sz w:val="22"/>
        </w:rPr>
        <w:t>11</w:t>
      </w:r>
      <w:r w:rsidR="00E55C85">
        <w:rPr>
          <w:rFonts w:ascii="Arial" w:hAnsi="Arial" w:cs="Arial"/>
          <w:b/>
          <w:bCs/>
          <w:sz w:val="22"/>
        </w:rPr>
        <w:t>4</w:t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="004222C3" w:rsidRPr="004222C3">
        <w:rPr>
          <w:rFonts w:ascii="Arial" w:hAnsi="Arial" w:cs="Arial"/>
          <w:b/>
          <w:bCs/>
          <w:sz w:val="22"/>
        </w:rPr>
        <w:t>R4-250179</w:t>
      </w:r>
      <w:r w:rsidR="004222C3">
        <w:rPr>
          <w:rFonts w:ascii="Arial" w:hAnsi="Arial" w:cs="Arial"/>
          <w:b/>
          <w:bCs/>
          <w:sz w:val="22"/>
        </w:rPr>
        <w:t>4</w:t>
      </w:r>
      <w:bookmarkStart w:id="1" w:name="_GoBack"/>
      <w:bookmarkEnd w:id="1"/>
    </w:p>
    <w:p w:rsidR="00DF36BC" w:rsidRPr="00DF36BC" w:rsidRDefault="00E55C85" w:rsidP="00873C96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At</w:t>
      </w:r>
      <w:r>
        <w:rPr>
          <w:rFonts w:ascii="Arial" w:eastAsia="宋体" w:hAnsi="Arial" w:cs="Arial"/>
          <w:b/>
          <w:sz w:val="24"/>
          <w:szCs w:val="24"/>
        </w:rPr>
        <w:t>hens</w:t>
      </w:r>
      <w:r w:rsidR="00873C96" w:rsidRPr="00802ED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GR</w:t>
      </w:r>
      <w:r w:rsidR="00873C96" w:rsidRPr="00802ED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17</w:t>
      </w:r>
      <w:r w:rsidR="008F08C0" w:rsidRPr="00E55C85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8F08C0">
        <w:rPr>
          <w:rFonts w:ascii="Arial" w:eastAsia="宋体" w:hAnsi="Arial" w:cs="Arial"/>
          <w:b/>
          <w:sz w:val="24"/>
          <w:szCs w:val="24"/>
        </w:rPr>
        <w:t xml:space="preserve"> </w:t>
      </w:r>
      <w:r w:rsidR="008F08C0" w:rsidRPr="00802EDA">
        <w:rPr>
          <w:rFonts w:ascii="Arial" w:eastAsia="宋体" w:hAnsi="Arial" w:cs="Arial"/>
          <w:b/>
          <w:sz w:val="24"/>
          <w:szCs w:val="24"/>
        </w:rPr>
        <w:t>–</w:t>
      </w:r>
      <w:r w:rsidR="00873C96" w:rsidRPr="00802EDA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21</w:t>
      </w:r>
      <w:r w:rsidRPr="00E55C85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  <w:szCs w:val="24"/>
        </w:rPr>
        <w:t xml:space="preserve"> February</w:t>
      </w:r>
      <w:r w:rsidR="00873C96" w:rsidRPr="00802EDA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5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F3217E">
        <w:rPr>
          <w:rFonts w:ascii="Arial" w:eastAsia="宋体" w:hAnsi="Arial" w:cs="Arial"/>
          <w:b/>
          <w:sz w:val="24"/>
          <w:szCs w:val="24"/>
          <w:lang w:val="en-US" w:eastAsia="zh-CN"/>
        </w:rPr>
        <w:t>7.24.2.3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AE7795" w:rsidRPr="00AE7795">
        <w:rPr>
          <w:rFonts w:ascii="Arial" w:eastAsia="宋体" w:hAnsi="Arial" w:cs="Arial"/>
          <w:b/>
          <w:sz w:val="24"/>
          <w:szCs w:val="24"/>
          <w:lang w:val="en-US" w:eastAsia="zh-CN"/>
        </w:rPr>
        <w:t>RF requirements for CW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751A87">
      <w:pPr>
        <w:ind w:left="48"/>
        <w:jc w:val="both"/>
        <w:rPr>
          <w:rFonts w:eastAsiaTheme="minorEastAsia"/>
          <w:lang w:eastAsia="zh-CN"/>
        </w:rPr>
      </w:pPr>
      <w:r>
        <w:t>The new WID [1] for ambient IOT has been approved in the RAN#106 meeting. In this paper we try to give discussion on the RF requirements for device 1 as per the WID request and also based on the outcome of the study item as captured in the TR 38.769</w:t>
      </w:r>
      <w:r w:rsidR="00D12255">
        <w:t>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1A01B6" w:rsidRDefault="001562CD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Rel-</w:t>
      </w:r>
      <w:r w:rsidR="00751A87">
        <w:rPr>
          <w:rFonts w:eastAsiaTheme="minorEastAsia"/>
          <w:lang w:eastAsia="zh-CN"/>
        </w:rPr>
        <w:t xml:space="preserve">19 study item phase, it has been discussed the CW cancellation capability and captured in the TR 38.769. However further requirement for the CW has not been discussed. </w:t>
      </w:r>
      <w:r w:rsidR="002D22FD">
        <w:rPr>
          <w:rFonts w:eastAsiaTheme="minorEastAsia"/>
          <w:lang w:eastAsia="zh-CN"/>
        </w:rPr>
        <w:t>Some RF parameter for co-existence study has been captured in the TR and shown below.</w:t>
      </w:r>
    </w:p>
    <w:p w:rsidR="00716E9C" w:rsidRDefault="00487ED6" w:rsidP="002D22F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>
                <wp:extent cx="3247948" cy="1258214"/>
                <wp:effectExtent l="0" t="0" r="14605" b="1841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7948" cy="12582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22FD" w:rsidRPr="0037088D" w:rsidRDefault="002D22FD" w:rsidP="002D22FD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等线" w:hAnsi="Arial"/>
                                <w:b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b/>
                              </w:rPr>
                              <w:t xml:space="preserve">Table </w:t>
                            </w:r>
                            <w:r w:rsidRPr="0037088D">
                              <w:rPr>
                                <w:rFonts w:ascii="Arial" w:eastAsia="宋体" w:hAnsi="Arial"/>
                                <w:b/>
                              </w:rPr>
                              <w:t>6.6.2.2</w:t>
                            </w:r>
                            <w:r w:rsidRPr="0037088D">
                              <w:rPr>
                                <w:rFonts w:ascii="Arial" w:eastAsia="等线" w:hAnsi="Arial"/>
                                <w:b/>
                              </w:rPr>
                              <w:t>-4: CW RF parameters</w:t>
                            </w:r>
                          </w:p>
                          <w:tbl>
                            <w:tblPr>
                              <w:tblW w:w="8505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57"/>
                              <w:gridCol w:w="4377"/>
                              <w:gridCol w:w="2671"/>
                            </w:tblGrid>
                            <w:tr w:rsidR="002D22FD" w:rsidRPr="0037088D" w:rsidTr="002D22FD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0CECE"/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</w:rPr>
                                    <w:t>CW parameters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0CECE"/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</w:rPr>
                                    <w:t>D1T1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0CECE"/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</w:rPr>
                                    <w:t>D2T2</w:t>
                                  </w:r>
                                </w:p>
                              </w:tc>
                            </w:tr>
                            <w:tr w:rsidR="002D22FD" w:rsidRPr="0037088D" w:rsidTr="002D22FD">
                              <w:trPr>
                                <w:trHeight w:val="48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0CECE"/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b/>
                                      <w:bCs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b/>
                                      <w:bCs/>
                                      <w:sz w:val="18"/>
                                    </w:rPr>
                                    <w:t>Tx power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  <w:t>If UL spectrum is used, UE Tx power is assumed, i.e. 23dB</w:t>
                                  </w:r>
                                </w:p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  <w:t>If DL spectrum is used, A-IoT reader Tx power is assumed, i.e. 33 dBm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  <w:t>Intermediate UE Tx power is assumed.</w:t>
                                  </w:r>
                                </w:p>
                              </w:tc>
                            </w:tr>
                            <w:tr w:rsidR="002D22FD" w:rsidRPr="0037088D" w:rsidTr="002D22FD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0CECE"/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b/>
                                      <w:bCs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b/>
                                      <w:bCs/>
                                      <w:sz w:val="18"/>
                                    </w:rPr>
                                    <w:t>Antenna gain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  <w:t>Same as A-IoT reader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22FD" w:rsidRPr="0037088D" w:rsidRDefault="002D22FD" w:rsidP="002D22FD">
                                  <w:pPr>
                                    <w:keepNext/>
                                    <w:keepLines/>
                                    <w:snapToGrid w:val="0"/>
                                    <w:spacing w:after="60"/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</w:pPr>
                                  <w:r w:rsidRPr="0037088D">
                                    <w:rPr>
                                      <w:rFonts w:ascii="Arial" w:eastAsia="等线" w:hAnsi="Arial"/>
                                      <w:sz w:val="18"/>
                                    </w:rPr>
                                    <w:t>Same as intermediate UE</w:t>
                                  </w:r>
                                </w:p>
                              </w:tc>
                            </w:tr>
                          </w:tbl>
                          <w:p w:rsidR="00487ED6" w:rsidRDefault="00487ED6" w:rsidP="00487ED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:rsidR="00487ED6" w:rsidRPr="00487ED6" w:rsidRDefault="00487ED6" w:rsidP="00487ED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200"/>
                              <w:jc w:val="center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:rsidR="00487ED6" w:rsidRPr="00487ED6" w:rsidRDefault="00487ED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255.75pt;height:99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" fillcolor="white [3201]" strokeweight=".5pt">
                <v:textbox>
                  <w:txbxContent>
                    <w:p w:rsidR="002D22FD" w:rsidRPr="0037088D" w:rsidRDefault="002D22FD" w:rsidP="002D22FD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等线" w:hAnsi="Arial"/>
                          <w:b/>
                        </w:rPr>
                      </w:pPr>
                      <w:r w:rsidRPr="0037088D">
                        <w:rPr>
                          <w:rFonts w:ascii="Arial" w:eastAsia="等线" w:hAnsi="Arial"/>
                          <w:b/>
                        </w:rPr>
                        <w:t xml:space="preserve">Table </w:t>
                      </w:r>
                      <w:r w:rsidRPr="0037088D">
                        <w:rPr>
                          <w:rFonts w:ascii="Arial" w:eastAsia="宋体" w:hAnsi="Arial"/>
                          <w:b/>
                        </w:rPr>
                        <w:t>6.6.2.2</w:t>
                      </w:r>
                      <w:r w:rsidRPr="0037088D">
                        <w:rPr>
                          <w:rFonts w:ascii="Arial" w:eastAsia="等线" w:hAnsi="Arial"/>
                          <w:b/>
                        </w:rPr>
                        <w:t>-4: CW RF parameters</w:t>
                      </w:r>
                    </w:p>
                    <w:tbl>
                      <w:tblPr>
                        <w:tblW w:w="8505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57"/>
                        <w:gridCol w:w="4377"/>
                        <w:gridCol w:w="2671"/>
                      </w:tblGrid>
                      <w:tr w:rsidR="002D22FD" w:rsidRPr="0037088D" w:rsidTr="002D22FD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0CECE"/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b/>
                                <w:sz w:val="18"/>
                              </w:rPr>
                              <w:t>CW parameters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0CECE"/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b/>
                                <w:sz w:val="18"/>
                              </w:rPr>
                              <w:t>D1T1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0CECE"/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b/>
                                <w:sz w:val="18"/>
                              </w:rPr>
                              <w:t>D2T2</w:t>
                            </w:r>
                          </w:p>
                        </w:tc>
                      </w:tr>
                      <w:tr w:rsidR="002D22FD" w:rsidRPr="0037088D" w:rsidTr="002D22FD">
                        <w:trPr>
                          <w:trHeight w:val="48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0CECE"/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b/>
                                <w:bCs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b/>
                                <w:bCs/>
                                <w:sz w:val="18"/>
                              </w:rPr>
                              <w:t>Tx power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sz w:val="18"/>
                              </w:rPr>
                              <w:t>If UL spectrum is used, UE Tx power is assumed, i.e. 23dB</w:t>
                            </w:r>
                          </w:p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sz w:val="18"/>
                              </w:rPr>
                              <w:t>If DL spectrum is used, A-IoT reader Tx power is assumed, i.e. 33 dBm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sz w:val="18"/>
                              </w:rPr>
                              <w:t>Intermediate UE Tx power is assumed.</w:t>
                            </w:r>
                          </w:p>
                        </w:tc>
                      </w:tr>
                      <w:tr w:rsidR="002D22FD" w:rsidRPr="0037088D" w:rsidTr="002D22FD">
                        <w:trPr>
                          <w:trHeight w:val="271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0CECE"/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b/>
                                <w:bCs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b/>
                                <w:bCs/>
                                <w:sz w:val="18"/>
                              </w:rPr>
                              <w:t>Antenna gain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sz w:val="18"/>
                              </w:rPr>
                              <w:t>Same as A-IoT reader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22FD" w:rsidRPr="0037088D" w:rsidRDefault="002D22FD" w:rsidP="002D22FD">
                            <w:pPr>
                              <w:keepNext/>
                              <w:keepLines/>
                              <w:snapToGrid w:val="0"/>
                              <w:spacing w:after="60"/>
                              <w:rPr>
                                <w:rFonts w:ascii="Arial" w:eastAsia="等线" w:hAnsi="Arial"/>
                                <w:sz w:val="18"/>
                              </w:rPr>
                            </w:pPr>
                            <w:r w:rsidRPr="0037088D">
                              <w:rPr>
                                <w:rFonts w:ascii="Arial" w:eastAsia="等线" w:hAnsi="Arial"/>
                                <w:sz w:val="18"/>
                              </w:rPr>
                              <w:t>Same as intermediate UE</w:t>
                            </w:r>
                          </w:p>
                        </w:tc>
                      </w:tr>
                    </w:tbl>
                    <w:p w:rsidR="00487ED6" w:rsidRDefault="00487ED6" w:rsidP="00487ED6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:rsidR="00487ED6" w:rsidRPr="00487ED6" w:rsidRDefault="00487ED6" w:rsidP="00487ED6">
                      <w:pPr>
                        <w:overflowPunct/>
                        <w:autoSpaceDE/>
                        <w:autoSpaceDN/>
                        <w:adjustRightInd/>
                        <w:spacing w:after="200"/>
                        <w:jc w:val="center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</w:p>
                    <w:p w:rsidR="00487ED6" w:rsidRPr="00487ED6" w:rsidRDefault="00487ED6"/>
                  </w:txbxContent>
                </v:textbox>
                <w10:anchorlock/>
              </v:shape>
            </w:pict>
          </mc:Fallback>
        </mc:AlternateContent>
      </w:r>
    </w:p>
    <w:p w:rsidR="002D22FD" w:rsidRDefault="002D22FD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nly TX power has been considered but the in-band/out-of-band emission is not considered during the simulation stage. </w:t>
      </w:r>
    </w:p>
    <w:p w:rsidR="002C073F" w:rsidRPr="002C073F" w:rsidRDefault="002C073F" w:rsidP="001A01B6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Observation</w:t>
      </w:r>
      <w:r w:rsidRPr="002C073F">
        <w:rPr>
          <w:rFonts w:eastAsiaTheme="minorEastAsia"/>
          <w:b/>
          <w:lang w:eastAsia="zh-CN"/>
        </w:rPr>
        <w:t xml:space="preserve"> 1</w:t>
      </w:r>
      <w:r w:rsidRPr="002C073F">
        <w:rPr>
          <w:rFonts w:eastAsiaTheme="minorEastAsia" w:hint="eastAsia"/>
          <w:b/>
          <w:lang w:eastAsia="zh-CN"/>
        </w:rPr>
        <w:t>：</w:t>
      </w:r>
      <w:r w:rsidRPr="002C073F">
        <w:rPr>
          <w:rFonts w:eastAsiaTheme="minorEastAsia" w:hint="eastAsia"/>
          <w:b/>
          <w:lang w:eastAsia="zh-CN"/>
        </w:rPr>
        <w:t>O</w:t>
      </w:r>
      <w:r w:rsidRPr="002C073F">
        <w:rPr>
          <w:rFonts w:eastAsiaTheme="minorEastAsia"/>
          <w:b/>
          <w:lang w:eastAsia="zh-CN"/>
        </w:rPr>
        <w:t xml:space="preserve">nly TX power has been considered </w:t>
      </w:r>
      <w:r w:rsidRPr="002C073F">
        <w:rPr>
          <w:rFonts w:eastAsiaTheme="minorEastAsia" w:hint="eastAsia"/>
          <w:b/>
          <w:lang w:eastAsia="zh-CN"/>
        </w:rPr>
        <w:t>for</w:t>
      </w:r>
      <w:r w:rsidRPr="002C073F">
        <w:rPr>
          <w:rFonts w:eastAsiaTheme="minorEastAsia"/>
          <w:b/>
          <w:lang w:eastAsia="zh-CN"/>
        </w:rPr>
        <w:t xml:space="preserve"> CW in the co-existence study.</w:t>
      </w:r>
    </w:p>
    <w:p w:rsidR="002C073F" w:rsidRDefault="002C073F" w:rsidP="001A01B6">
      <w:pPr>
        <w:rPr>
          <w:rFonts w:eastAsia="等线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hile in clause 6.8 </w:t>
      </w:r>
      <w:r w:rsidRPr="0037088D">
        <w:rPr>
          <w:rFonts w:eastAsia="等线"/>
        </w:rPr>
        <w:t>Characteristics of carrier-wave waveform</w:t>
      </w:r>
      <w:r>
        <w:rPr>
          <w:rFonts w:eastAsia="等线"/>
        </w:rPr>
        <w:t xml:space="preserve"> of the TR, it has captured the CW characteristics and captured the potential requirement as:</w:t>
      </w:r>
    </w:p>
    <w:p w:rsidR="002C073F" w:rsidRPr="0037088D" w:rsidRDefault="002C073F" w:rsidP="002C073F">
      <w:pPr>
        <w:tabs>
          <w:tab w:val="left" w:pos="2296"/>
        </w:tabs>
        <w:rPr>
          <w:rFonts w:eastAsia="等线"/>
        </w:rPr>
      </w:pPr>
      <w:r w:rsidRPr="0037088D">
        <w:rPr>
          <w:rFonts w:eastAsia="等线"/>
        </w:rPr>
        <w:t>The following CW waveform characteristics which would need control of the CW node(s) are identified:</w:t>
      </w:r>
    </w:p>
    <w:p w:rsidR="002C073F" w:rsidRPr="002C073F" w:rsidRDefault="002C073F" w:rsidP="002C073F">
      <w:pPr>
        <w:pStyle w:val="B1"/>
        <w:rPr>
          <w:rFonts w:eastAsia="等线"/>
          <w:b/>
          <w:lang w:val="en-US"/>
        </w:rPr>
      </w:pPr>
      <w:r w:rsidRPr="002C073F">
        <w:rPr>
          <w:rFonts w:eastAsia="等线"/>
          <w:b/>
          <w:lang w:val="en-US"/>
        </w:rPr>
        <w:t>-</w:t>
      </w:r>
      <w:r w:rsidRPr="002C073F">
        <w:rPr>
          <w:rFonts w:eastAsia="等线"/>
          <w:b/>
          <w:lang w:val="en-US"/>
        </w:rPr>
        <w:tab/>
        <w:t>When CW is transmitted or not transmitted</w:t>
      </w:r>
    </w:p>
    <w:p w:rsidR="002C073F" w:rsidRPr="002C073F" w:rsidRDefault="002C073F" w:rsidP="002C073F">
      <w:pPr>
        <w:pStyle w:val="B1"/>
        <w:rPr>
          <w:rFonts w:eastAsia="等线"/>
          <w:b/>
          <w:lang w:val="en-US"/>
        </w:rPr>
      </w:pPr>
      <w:r w:rsidRPr="002C073F">
        <w:rPr>
          <w:rFonts w:eastAsia="等线"/>
          <w:b/>
          <w:lang w:val="en-US"/>
        </w:rPr>
        <w:t>-</w:t>
      </w:r>
      <w:r w:rsidRPr="002C073F">
        <w:rPr>
          <w:rFonts w:eastAsia="等线"/>
          <w:b/>
          <w:lang w:val="en-US"/>
        </w:rPr>
        <w:tab/>
        <w:t>Transmission Power</w:t>
      </w:r>
    </w:p>
    <w:p w:rsidR="002C073F" w:rsidRPr="002C073F" w:rsidRDefault="002C073F" w:rsidP="002C073F">
      <w:pPr>
        <w:pStyle w:val="B1"/>
        <w:rPr>
          <w:rFonts w:eastAsia="等线"/>
          <w:b/>
          <w:lang w:val="en-US"/>
        </w:rPr>
      </w:pPr>
      <w:r w:rsidRPr="002C073F">
        <w:rPr>
          <w:rFonts w:eastAsia="等线"/>
          <w:b/>
          <w:lang w:val="en-US"/>
        </w:rPr>
        <w:t>-</w:t>
      </w:r>
      <w:r w:rsidRPr="002C073F">
        <w:rPr>
          <w:rFonts w:eastAsia="等线"/>
          <w:b/>
          <w:lang w:val="en-US"/>
        </w:rPr>
        <w:tab/>
        <w:t>Frequency resources, e.g. frequency location(s) for waveform (e.g. waveform 1, waveform 2)</w:t>
      </w:r>
    </w:p>
    <w:p w:rsidR="002C073F" w:rsidRDefault="002C073F" w:rsidP="002C073F">
      <w:pPr>
        <w:rPr>
          <w:rFonts w:eastAsia="等线"/>
        </w:rPr>
      </w:pPr>
      <w:r w:rsidRPr="0037088D">
        <w:rPr>
          <w:rFonts w:eastAsia="等线"/>
        </w:rPr>
        <w:t>Other CW waveform characteristics which would need control of the CW node(s), if any, can be further identified in a later stage.</w:t>
      </w:r>
    </w:p>
    <w:p w:rsidR="002C073F" w:rsidRPr="002C073F" w:rsidRDefault="002C073F" w:rsidP="002C073F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O</w:t>
      </w:r>
      <w:r w:rsidRPr="002C073F">
        <w:rPr>
          <w:rFonts w:eastAsiaTheme="minorEastAsia"/>
          <w:b/>
          <w:lang w:eastAsia="zh-CN"/>
        </w:rPr>
        <w:t>bservation 2: The CW characteristics identified by RAN1 is the transmission time, transmission power and transmission frequency.</w:t>
      </w:r>
    </w:p>
    <w:p w:rsidR="002D22FD" w:rsidRDefault="002D22FD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urthermore, in TR 38.769 sub-clause 6.6.3.4 the impact from CW to NR has captured the reason why the CW impact is not modelled.</w:t>
      </w:r>
    </w:p>
    <w:p w:rsidR="002C073F" w:rsidRPr="002C073F" w:rsidRDefault="002C073F" w:rsidP="001A01B6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O</w:t>
      </w:r>
      <w:r w:rsidRPr="002C073F">
        <w:rPr>
          <w:rFonts w:eastAsiaTheme="minorEastAsia"/>
          <w:b/>
          <w:lang w:eastAsia="zh-CN"/>
        </w:rPr>
        <w:t>bservation 3: During the co-existence study phase, RAN4 doesn’t model the CW impact.</w:t>
      </w:r>
    </w:p>
    <w:p w:rsidR="002D22FD" w:rsidRDefault="002D22FD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67253DC5" wp14:editId="1ABF8C61">
                <wp:extent cx="6313017" cy="4542739"/>
                <wp:effectExtent l="0" t="0" r="12065" b="10795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3017" cy="45427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22FD" w:rsidRPr="002D22FD" w:rsidRDefault="002D22FD" w:rsidP="002D22FD">
                            <w:pPr>
                              <w:pStyle w:val="4"/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val="en-US"/>
                              </w:rPr>
                            </w:pPr>
                            <w:bookmarkStart w:id="2" w:name="_Toc187176174"/>
                            <w:r w:rsidRPr="002D22FD">
                              <w:rPr>
                                <w:lang w:val="en-US"/>
                              </w:rPr>
                              <w:t>6.6.3.4</w:t>
                            </w:r>
                            <w:r w:rsidRPr="002D22FD">
                              <w:rPr>
                                <w:lang w:val="en-US"/>
                              </w:rPr>
                              <w:tab/>
                              <w:t>Impact from CW to NR</w:t>
                            </w:r>
                            <w:bookmarkEnd w:id="2"/>
                          </w:p>
                          <w:p w:rsidR="002D22FD" w:rsidRPr="0037088D" w:rsidRDefault="002D22FD" w:rsidP="002D22FD">
                            <w:r w:rsidRPr="0037088D">
                              <w:t>In 6.6.3.2, the SINR definition includes the impact from CW to D2R which is treat as intra-system interference. However, Whether and how the CW will influence the NR system also needs to be studied. In [156], the impact of CW signal under different assumptions are investigated and the evaluation results are shown in figure 6.6.3.4-1.</w:t>
                            </w:r>
                          </w:p>
                          <w:p w:rsidR="002D22FD" w:rsidRPr="002D22FD" w:rsidRDefault="002D22FD" w:rsidP="002D22FD">
                            <w:pPr>
                              <w:pStyle w:val="TH"/>
                              <w:rPr>
                                <w:noProof/>
                                <w:lang w:val="en-US"/>
                              </w:rPr>
                            </w:pPr>
                            <w:r w:rsidRPr="0037088D"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 wp14:anchorId="7192DAFA" wp14:editId="29E7ACB2">
                                  <wp:extent cx="2753360" cy="2401570"/>
                                  <wp:effectExtent l="0" t="0" r="8890" b="0"/>
                                  <wp:docPr id="224500429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3360" cy="2401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D22FD">
                              <w:rPr>
                                <w:noProof/>
                                <w:lang w:val="en-US"/>
                              </w:rPr>
                              <w:t xml:space="preserve"> </w:t>
                            </w:r>
                            <w:r w:rsidRPr="0037088D"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 wp14:anchorId="37D8F684" wp14:editId="1975F53B">
                                  <wp:extent cx="2733040" cy="2351405"/>
                                  <wp:effectExtent l="0" t="0" r="0" b="0"/>
                                  <wp:docPr id="1835816200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3040" cy="23514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D22FD" w:rsidRPr="0037088D" w:rsidRDefault="002D22FD" w:rsidP="002D22FD">
                            <w:pPr>
                              <w:pStyle w:val="TF"/>
                              <w:rPr>
                                <w:lang w:eastAsia="en-US"/>
                              </w:rPr>
                            </w:pPr>
                            <w:r w:rsidRPr="0037088D">
                              <w:rPr>
                                <w:lang w:eastAsia="en-US"/>
                              </w:rPr>
                              <w:t>Figure 6.6.3.4-1: Impact from CW to NR system [156]</w:t>
                            </w:r>
                          </w:p>
                          <w:p w:rsidR="002D22FD" w:rsidRPr="0037088D" w:rsidRDefault="002D22FD" w:rsidP="002D22FD">
                            <w:r w:rsidRPr="0037088D">
                              <w:t xml:space="preserve">The results shows that when the CW is orthogonal with NR subcarrier, i.e., α=0, the influence of interference is much lower and also easier to be removed after FFT, only if the power of CW interference does not exceed the dynamic range of receiver. </w:t>
                            </w:r>
                          </w:p>
                          <w:p w:rsidR="002D22FD" w:rsidRPr="0037088D" w:rsidRDefault="002D22FD" w:rsidP="002D22FD">
                            <w:r w:rsidRPr="0037088D">
                              <w:t>Based on the analysis above, the impact from CW to NR is not modelled in the co-existence evaluation for simplicity.</w:t>
                            </w:r>
                          </w:p>
                          <w:p w:rsidR="002D22FD" w:rsidRPr="002D22FD" w:rsidRDefault="002D22FD" w:rsidP="002D22FD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253DC5" id="文本框 6" o:spid="_x0000_s1027" type="#_x0000_t202" style="width:497.1pt;height:357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" fillcolor="white [3201]" strokeweight=".5pt">
                <v:textbox>
                  <w:txbxContent>
                    <w:p w:rsidR="002D22FD" w:rsidRPr="002D22FD" w:rsidRDefault="002D22FD" w:rsidP="002D22FD">
                      <w:pPr>
                        <w:pStyle w:val="4"/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val="en-US"/>
                        </w:rPr>
                      </w:pPr>
                      <w:bookmarkStart w:id="2" w:name="_Toc187176174"/>
                      <w:r w:rsidRPr="002D22FD">
                        <w:rPr>
                          <w:lang w:val="en-US"/>
                        </w:rPr>
                        <w:t>6.6.3.4</w:t>
                      </w:r>
                      <w:r w:rsidRPr="002D22FD">
                        <w:rPr>
                          <w:lang w:val="en-US"/>
                        </w:rPr>
                        <w:tab/>
                        <w:t>Impact from CW to NR</w:t>
                      </w:r>
                      <w:bookmarkEnd w:id="2"/>
                    </w:p>
                    <w:p w:rsidR="002D22FD" w:rsidRPr="0037088D" w:rsidRDefault="002D22FD" w:rsidP="002D22FD">
                      <w:r w:rsidRPr="0037088D">
                        <w:t>In 6.6.3.2, the SINR definition includes the impact from CW to D2R which is treat as intra-system interference. However, Whether and how the CW will influence the NR system also needs to be studied. In [156], the impact of CW signal under different assumptions are investigated and the evaluation results are shown in figure 6.6.3.4-1.</w:t>
                      </w:r>
                    </w:p>
                    <w:p w:rsidR="002D22FD" w:rsidRPr="002D22FD" w:rsidRDefault="002D22FD" w:rsidP="002D22FD">
                      <w:pPr>
                        <w:pStyle w:val="TH"/>
                        <w:rPr>
                          <w:noProof/>
                          <w:lang w:val="en-US"/>
                        </w:rPr>
                      </w:pPr>
                      <w:r w:rsidRPr="0037088D">
                        <w:rPr>
                          <w:noProof/>
                          <w:lang w:eastAsia="zh-CN"/>
                        </w:rPr>
                        <w:drawing>
                          <wp:inline distT="0" distB="0" distL="0" distR="0" wp14:anchorId="7192DAFA" wp14:editId="29E7ACB2">
                            <wp:extent cx="2753360" cy="2401570"/>
                            <wp:effectExtent l="0" t="0" r="8890" b="0"/>
                            <wp:docPr id="224500429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3360" cy="2401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D22FD">
                        <w:rPr>
                          <w:noProof/>
                          <w:lang w:val="en-US"/>
                        </w:rPr>
                        <w:t xml:space="preserve"> </w:t>
                      </w:r>
                      <w:r w:rsidRPr="0037088D">
                        <w:rPr>
                          <w:noProof/>
                          <w:lang w:eastAsia="zh-CN"/>
                        </w:rPr>
                        <w:drawing>
                          <wp:inline distT="0" distB="0" distL="0" distR="0" wp14:anchorId="37D8F684" wp14:editId="1975F53B">
                            <wp:extent cx="2733040" cy="2351405"/>
                            <wp:effectExtent l="0" t="0" r="0" b="0"/>
                            <wp:docPr id="1835816200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3040" cy="23514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D22FD" w:rsidRPr="0037088D" w:rsidRDefault="002D22FD" w:rsidP="002D22FD">
                      <w:pPr>
                        <w:pStyle w:val="TF"/>
                        <w:rPr>
                          <w:lang w:eastAsia="en-US"/>
                        </w:rPr>
                      </w:pPr>
                      <w:r w:rsidRPr="0037088D">
                        <w:rPr>
                          <w:lang w:eastAsia="en-US"/>
                        </w:rPr>
                        <w:t>Figure 6.6.3.4-1: Impact from CW to NR system [156]</w:t>
                      </w:r>
                    </w:p>
                    <w:p w:rsidR="002D22FD" w:rsidRPr="0037088D" w:rsidRDefault="002D22FD" w:rsidP="002D22FD">
                      <w:r w:rsidRPr="0037088D">
                        <w:t xml:space="preserve">The results </w:t>
                      </w:r>
                      <w:proofErr w:type="gramStart"/>
                      <w:r w:rsidRPr="0037088D">
                        <w:t>shows</w:t>
                      </w:r>
                      <w:proofErr w:type="gramEnd"/>
                      <w:r w:rsidRPr="0037088D">
                        <w:t xml:space="preserve"> that when the CW is orthogonal with NR subcarrier, i.e., α=0, the influence of interference is much lower and also easier to be removed after FFT, only if the power of CW interference does not exceed the dynamic range of receiver. </w:t>
                      </w:r>
                    </w:p>
                    <w:p w:rsidR="002D22FD" w:rsidRPr="0037088D" w:rsidRDefault="002D22FD" w:rsidP="002D22FD">
                      <w:r w:rsidRPr="0037088D">
                        <w:t>Based on the analysis above, the impact from CW to NR is not modelled in the co-existence evaluation for simplicity.</w:t>
                      </w:r>
                    </w:p>
                    <w:p w:rsidR="002D22FD" w:rsidRPr="002D22FD" w:rsidRDefault="002D22FD" w:rsidP="002D22FD"/>
                  </w:txbxContent>
                </v:textbox>
                <w10:anchorlock/>
              </v:shape>
            </w:pict>
          </mc:Fallback>
        </mc:AlternateContent>
      </w:r>
    </w:p>
    <w:p w:rsidR="002C073F" w:rsidRDefault="002C073F" w:rsidP="001A01B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the above observations, we believe the most important characteristics for CW is the transmission power and corresponding frequency accuracy, which guarantee the CW is generated at the correct frequency.</w:t>
      </w:r>
    </w:p>
    <w:p w:rsidR="002C073F" w:rsidRPr="002C073F" w:rsidRDefault="002C073F" w:rsidP="001A01B6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P</w:t>
      </w:r>
      <w:r w:rsidRPr="002C073F">
        <w:rPr>
          <w:rFonts w:eastAsiaTheme="minorEastAsia"/>
          <w:b/>
          <w:lang w:eastAsia="zh-CN"/>
        </w:rPr>
        <w:t>roposal: To define the transmission power and frequency accuracy requirement for CW.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discussion on </w:t>
      </w:r>
      <w:r w:rsidR="00921DBE">
        <w:rPr>
          <w:rFonts w:eastAsia="等线"/>
          <w:lang w:eastAsia="zh-CN"/>
        </w:rPr>
        <w:t xml:space="preserve">the </w:t>
      </w:r>
      <w:r w:rsidR="002C073F">
        <w:rPr>
          <w:rFonts w:eastAsia="等线"/>
          <w:lang w:eastAsia="zh-CN"/>
        </w:rPr>
        <w:t>CW RF requirement</w:t>
      </w:r>
      <w:r w:rsidR="00921DBE">
        <w:rPr>
          <w:rFonts w:eastAsia="等线"/>
          <w:lang w:eastAsia="zh-CN"/>
        </w:rPr>
        <w:t>,</w:t>
      </w:r>
      <w:r w:rsidR="00C80B11">
        <w:rPr>
          <w:rFonts w:eastAsia="等线"/>
          <w:lang w:eastAsia="zh-CN"/>
        </w:rPr>
        <w:t xml:space="preserve"> the observations and proposals are as below: </w:t>
      </w:r>
    </w:p>
    <w:p w:rsidR="002C073F" w:rsidRPr="002C073F" w:rsidRDefault="002C073F" w:rsidP="002C073F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Observation</w:t>
      </w:r>
      <w:r w:rsidRPr="002C073F">
        <w:rPr>
          <w:rFonts w:eastAsiaTheme="minorEastAsia"/>
          <w:b/>
          <w:lang w:eastAsia="zh-CN"/>
        </w:rPr>
        <w:t xml:space="preserve"> 1</w:t>
      </w:r>
      <w:r w:rsidRPr="002C073F">
        <w:rPr>
          <w:rFonts w:eastAsiaTheme="minorEastAsia" w:hint="eastAsia"/>
          <w:b/>
          <w:lang w:eastAsia="zh-CN"/>
        </w:rPr>
        <w:t>：</w:t>
      </w:r>
      <w:r w:rsidRPr="002C073F">
        <w:rPr>
          <w:rFonts w:eastAsiaTheme="minorEastAsia" w:hint="eastAsia"/>
          <w:b/>
          <w:lang w:eastAsia="zh-CN"/>
        </w:rPr>
        <w:t>O</w:t>
      </w:r>
      <w:r w:rsidRPr="002C073F">
        <w:rPr>
          <w:rFonts w:eastAsiaTheme="minorEastAsia"/>
          <w:b/>
          <w:lang w:eastAsia="zh-CN"/>
        </w:rPr>
        <w:t xml:space="preserve">nly TX power has been considered </w:t>
      </w:r>
      <w:r w:rsidRPr="002C073F">
        <w:rPr>
          <w:rFonts w:eastAsiaTheme="minorEastAsia" w:hint="eastAsia"/>
          <w:b/>
          <w:lang w:eastAsia="zh-CN"/>
        </w:rPr>
        <w:t>for</w:t>
      </w:r>
      <w:r w:rsidRPr="002C073F">
        <w:rPr>
          <w:rFonts w:eastAsiaTheme="minorEastAsia"/>
          <w:b/>
          <w:lang w:eastAsia="zh-CN"/>
        </w:rPr>
        <w:t xml:space="preserve"> CW in the co-existence study.</w:t>
      </w:r>
    </w:p>
    <w:p w:rsidR="002C073F" w:rsidRPr="002C073F" w:rsidRDefault="002C073F" w:rsidP="002C073F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O</w:t>
      </w:r>
      <w:r w:rsidRPr="002C073F">
        <w:rPr>
          <w:rFonts w:eastAsiaTheme="minorEastAsia"/>
          <w:b/>
          <w:lang w:eastAsia="zh-CN"/>
        </w:rPr>
        <w:t>bservation 2: The CW characteristics identified by RAN1 is the transmission time, transmission power and transmission frequency.</w:t>
      </w:r>
    </w:p>
    <w:p w:rsidR="002C073F" w:rsidRPr="002C073F" w:rsidRDefault="002C073F" w:rsidP="002C073F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O</w:t>
      </w:r>
      <w:r w:rsidRPr="002C073F">
        <w:rPr>
          <w:rFonts w:eastAsiaTheme="minorEastAsia"/>
          <w:b/>
          <w:lang w:eastAsia="zh-CN"/>
        </w:rPr>
        <w:t>bservation 3: During the co-existence study phase, RAN4 doesn’t model the CW impact.</w:t>
      </w:r>
    </w:p>
    <w:p w:rsidR="002C073F" w:rsidRPr="002C073F" w:rsidRDefault="002C073F" w:rsidP="002C073F">
      <w:pPr>
        <w:rPr>
          <w:rFonts w:eastAsiaTheme="minorEastAsia"/>
          <w:b/>
          <w:lang w:eastAsia="zh-CN"/>
        </w:rPr>
      </w:pPr>
      <w:r w:rsidRPr="002C073F">
        <w:rPr>
          <w:rFonts w:eastAsiaTheme="minorEastAsia" w:hint="eastAsia"/>
          <w:b/>
          <w:lang w:eastAsia="zh-CN"/>
        </w:rPr>
        <w:t>P</w:t>
      </w:r>
      <w:r w:rsidRPr="002C073F">
        <w:rPr>
          <w:rFonts w:eastAsiaTheme="minorEastAsia"/>
          <w:b/>
          <w:lang w:eastAsia="zh-CN"/>
        </w:rPr>
        <w:t>roposal: To define the transmission power and frequency accuracy requirement for CW.</w:t>
      </w:r>
    </w:p>
    <w:p w:rsidR="003A046D" w:rsidRDefault="00986414">
      <w:pPr>
        <w:pStyle w:val="1"/>
      </w:pPr>
      <w:r>
        <w:t>4 References</w:t>
      </w:r>
    </w:p>
    <w:p w:rsidR="00A462B5" w:rsidRDefault="00A462B5" w:rsidP="00A462B5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>[1]</w:t>
      </w:r>
      <w:r w:rsidRPr="00487ED6">
        <w:t xml:space="preserve"> </w:t>
      </w:r>
      <w:r w:rsidRPr="004F1776">
        <w:rPr>
          <w:rFonts w:eastAsiaTheme="minorEastAsia"/>
          <w:lang w:val="en-US" w:eastAsia="zh-CN"/>
        </w:rPr>
        <w:t>RP-243326</w:t>
      </w:r>
      <w:r>
        <w:rPr>
          <w:rFonts w:eastAsia="华文楷体"/>
          <w:szCs w:val="28"/>
        </w:rPr>
        <w:tab/>
      </w:r>
      <w:r w:rsidRPr="004F1776">
        <w:rPr>
          <w:rFonts w:eastAsia="华文楷体"/>
          <w:szCs w:val="28"/>
        </w:rPr>
        <w:t>New Work Item: Solutions for Ambient IoT (Internet of Things) in NR</w:t>
      </w:r>
    </w:p>
    <w:p w:rsidR="00CB51B9" w:rsidRPr="00A462B5" w:rsidRDefault="00CB51B9" w:rsidP="001A01B6">
      <w:pPr>
        <w:spacing w:line="360" w:lineRule="auto"/>
        <w:rPr>
          <w:rFonts w:eastAsiaTheme="minorEastAsia"/>
          <w:lang w:eastAsia="zh-CN"/>
        </w:rPr>
      </w:pPr>
    </w:p>
    <w:sectPr w:rsidR="00CB51B9" w:rsidRPr="00A462B5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363" w:rsidRDefault="00B40363" w:rsidP="006426F4">
      <w:pPr>
        <w:spacing w:after="0"/>
      </w:pPr>
      <w:r>
        <w:separator/>
      </w:r>
    </w:p>
  </w:endnote>
  <w:endnote w:type="continuationSeparator" w:id="0">
    <w:p w:rsidR="00B40363" w:rsidRDefault="00B40363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363" w:rsidRDefault="00B40363" w:rsidP="006426F4">
      <w:pPr>
        <w:spacing w:after="0"/>
      </w:pPr>
      <w:r>
        <w:separator/>
      </w:r>
    </w:p>
  </w:footnote>
  <w:footnote w:type="continuationSeparator" w:id="0">
    <w:p w:rsidR="00B40363" w:rsidRDefault="00B40363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4B744C"/>
    <w:multiLevelType w:val="hybridMultilevel"/>
    <w:tmpl w:val="6F3A93E4"/>
    <w:lvl w:ilvl="0" w:tplc="0409000F">
      <w:start w:val="1"/>
      <w:numFmt w:val="decimal"/>
      <w:lvlText w:val="%1."/>
      <w:lvlJc w:val="left"/>
      <w:pPr>
        <w:ind w:left="788" w:hanging="420"/>
      </w:pPr>
    </w:lvl>
    <w:lvl w:ilvl="1" w:tplc="04090019">
      <w:start w:val="1"/>
      <w:numFmt w:val="lowerLetter"/>
      <w:lvlText w:val="%2)"/>
      <w:lvlJc w:val="left"/>
      <w:pPr>
        <w:ind w:left="1208" w:hanging="420"/>
      </w:pPr>
    </w:lvl>
    <w:lvl w:ilvl="2" w:tplc="0409001B" w:tentative="1">
      <w:start w:val="1"/>
      <w:numFmt w:val="lowerRoman"/>
      <w:lvlText w:val="%3."/>
      <w:lvlJc w:val="righ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9" w:tentative="1">
      <w:start w:val="1"/>
      <w:numFmt w:val="lowerLetter"/>
      <w:lvlText w:val="%5)"/>
      <w:lvlJc w:val="left"/>
      <w:pPr>
        <w:ind w:left="2468" w:hanging="420"/>
      </w:pPr>
    </w:lvl>
    <w:lvl w:ilvl="5" w:tplc="0409001B" w:tentative="1">
      <w:start w:val="1"/>
      <w:numFmt w:val="lowerRoman"/>
      <w:lvlText w:val="%6."/>
      <w:lvlJc w:val="righ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9" w:tentative="1">
      <w:start w:val="1"/>
      <w:numFmt w:val="lowerLetter"/>
      <w:lvlText w:val="%8)"/>
      <w:lvlJc w:val="left"/>
      <w:pPr>
        <w:ind w:left="3728" w:hanging="420"/>
      </w:pPr>
    </w:lvl>
    <w:lvl w:ilvl="8" w:tplc="0409001B" w:tentative="1">
      <w:start w:val="1"/>
      <w:numFmt w:val="lowerRoman"/>
      <w:lvlText w:val="%9."/>
      <w:lvlJc w:val="right"/>
      <w:pPr>
        <w:ind w:left="4148" w:hanging="420"/>
      </w:pPr>
    </w:lvl>
  </w:abstractNum>
  <w:abstractNum w:abstractNumId="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542930"/>
    <w:multiLevelType w:val="hybridMultilevel"/>
    <w:tmpl w:val="BE263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C10300"/>
    <w:multiLevelType w:val="hybridMultilevel"/>
    <w:tmpl w:val="8570852A"/>
    <w:lvl w:ilvl="0" w:tplc="FD460902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10"/>
  </w:num>
  <w:num w:numId="5">
    <w:abstractNumId w:val="17"/>
  </w:num>
  <w:num w:numId="6">
    <w:abstractNumId w:val="14"/>
  </w:num>
  <w:num w:numId="7">
    <w:abstractNumId w:val="5"/>
  </w:num>
  <w:num w:numId="8">
    <w:abstractNumId w:val="8"/>
  </w:num>
  <w:num w:numId="9">
    <w:abstractNumId w:val="2"/>
  </w:num>
  <w:num w:numId="10">
    <w:abstractNumId w:val="18"/>
  </w:num>
  <w:num w:numId="11">
    <w:abstractNumId w:val="6"/>
  </w:num>
  <w:num w:numId="12">
    <w:abstractNumId w:val="4"/>
  </w:num>
  <w:num w:numId="13">
    <w:abstractNumId w:val="16"/>
  </w:num>
  <w:num w:numId="14">
    <w:abstractNumId w:val="9"/>
  </w:num>
  <w:num w:numId="15">
    <w:abstractNumId w:val="13"/>
  </w:num>
  <w:num w:numId="16">
    <w:abstractNumId w:val="3"/>
  </w:num>
  <w:num w:numId="17">
    <w:abstractNumId w:val="7"/>
  </w:num>
  <w:num w:numId="18">
    <w:abstractNumId w:val="19"/>
  </w:num>
  <w:num w:numId="19">
    <w:abstractNumId w:val="12"/>
  </w:num>
  <w:num w:numId="20">
    <w:abstractNumId w:val="21"/>
  </w:num>
  <w:num w:numId="21">
    <w:abstractNumId w:val="20"/>
  </w:num>
  <w:num w:numId="22">
    <w:abstractNumId w:val="23"/>
  </w:num>
  <w:num w:numId="23">
    <w:abstractNumId w:val="1"/>
  </w:num>
  <w:num w:numId="24">
    <w:abstractNumId w:val="1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80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C50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22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0F7DC2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2B20"/>
    <w:rsid w:val="00153D41"/>
    <w:rsid w:val="001556A7"/>
    <w:rsid w:val="0015609F"/>
    <w:rsid w:val="001562CD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1B6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073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2FD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0CE0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68D"/>
    <w:rsid w:val="003C59E6"/>
    <w:rsid w:val="003C743D"/>
    <w:rsid w:val="003C79CE"/>
    <w:rsid w:val="003D17A6"/>
    <w:rsid w:val="003D381C"/>
    <w:rsid w:val="003D3A3D"/>
    <w:rsid w:val="003D43B4"/>
    <w:rsid w:val="003D4A8A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2C3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87ED6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D8D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D36"/>
    <w:rsid w:val="00617FDB"/>
    <w:rsid w:val="00620DD4"/>
    <w:rsid w:val="006215C0"/>
    <w:rsid w:val="00622823"/>
    <w:rsid w:val="006235B4"/>
    <w:rsid w:val="00623777"/>
    <w:rsid w:val="00625F9C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6E9C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A87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298A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3FB4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0B21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C96"/>
    <w:rsid w:val="00873D8D"/>
    <w:rsid w:val="008768B0"/>
    <w:rsid w:val="008800D5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08C0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1DBE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D34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62B5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AE2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95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856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0363"/>
    <w:rsid w:val="00B41D89"/>
    <w:rsid w:val="00B42126"/>
    <w:rsid w:val="00B42874"/>
    <w:rsid w:val="00B42BA0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5E63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1B9"/>
    <w:rsid w:val="00CB5B68"/>
    <w:rsid w:val="00CB5BE4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255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27CA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548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B7F4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C85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17E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202A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C2F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D3A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679B11"/>
  <w15:docId w15:val="{95ABBFA1-8825-493D-87C5-3E491A2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 Char,Ca,Caption Char C...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aa">
    <w:name w:val="题注 字符"/>
    <w:aliases w:val="cap 字符,cap Char 字符,Caption Char 字符,Caption Char1 Char 字符,cap Char Char1 字符,Caption Char Char1 Char 字符,cap Char2 Char 字符,Ca 字符,Caption Char C...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 Char,Caption Char C... Char"/>
    <w:rsid w:val="00487ED6"/>
    <w:rPr>
      <w:rFonts w:eastAsia="等线"/>
      <w:b/>
      <w:lang w:val="en-GB" w:eastAsia="en-US"/>
    </w:rPr>
  </w:style>
  <w:style w:type="character" w:customStyle="1" w:styleId="B1Char1">
    <w:name w:val="B1 Char1"/>
    <w:qFormat/>
    <w:rsid w:val="002C0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0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209C1D-9355-48ED-BE3C-D8A5C649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6620</TotalTime>
  <Pages>2</Pages>
  <Words>404</Words>
  <Characters>2304</Characters>
  <Application>Microsoft Office Word</Application>
  <DocSecurity>0</DocSecurity>
  <Lines>19</Lines>
  <Paragraphs>5</Paragraphs>
  <ScaleCrop>false</ScaleCrop>
  <Company>Spirent Communications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22</cp:revision>
  <cp:lastPrinted>2019-08-07T05:09:00Z</cp:lastPrinted>
  <dcterms:created xsi:type="dcterms:W3CDTF">2023-07-21T10:04:00Z</dcterms:created>
  <dcterms:modified xsi:type="dcterms:W3CDTF">2025-02-07T14:29:00Z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